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4238" w:rsidRPr="00844238" w:rsidRDefault="00844238" w:rsidP="00844238">
      <w:pPr>
        <w:spacing w:afterLines="50" w:after="156" w:line="520" w:lineRule="exact"/>
        <w:jc w:val="center"/>
        <w:rPr>
          <w:rFonts w:ascii="楷体" w:eastAsia="楷体" w:hAnsi="楷体" w:hint="eastAsia"/>
          <w:b/>
          <w:bCs/>
          <w:sz w:val="30"/>
          <w:szCs w:val="30"/>
        </w:rPr>
      </w:pPr>
      <w:bookmarkStart w:id="0" w:name="_GoBack"/>
      <w:bookmarkEnd w:id="0"/>
      <w:r w:rsidRPr="00844238">
        <w:rPr>
          <w:rFonts w:ascii="楷体" w:eastAsia="楷体" w:hAnsi="楷体" w:hint="eastAsia"/>
          <w:b/>
          <w:bCs/>
          <w:sz w:val="30"/>
          <w:szCs w:val="30"/>
        </w:rPr>
        <w:t>海南省普通高考标准分转换实施办法</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第一条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根据《海南省人民政府关于印发海南省深化高等学校考试招生综合改革试点方案的通知》（琼府〔</w:t>
      </w:r>
      <w:r w:rsidRPr="00844238">
        <w:rPr>
          <w:rFonts w:asciiTheme="minorEastAsia" w:eastAsiaTheme="minorEastAsia" w:hAnsiTheme="minorEastAsia"/>
          <w:bCs/>
          <w:sz w:val="24"/>
          <w:szCs w:val="24"/>
        </w:rPr>
        <w:t>2018</w:t>
      </w:r>
      <w:r w:rsidRPr="00844238">
        <w:rPr>
          <w:rFonts w:asciiTheme="minorEastAsia" w:eastAsiaTheme="minorEastAsia" w:hAnsiTheme="minorEastAsia" w:hint="eastAsia"/>
          <w:bCs/>
          <w:sz w:val="24"/>
          <w:szCs w:val="24"/>
        </w:rPr>
        <w:t>〕</w:t>
      </w:r>
      <w:r w:rsidRPr="00844238">
        <w:rPr>
          <w:rFonts w:asciiTheme="minorEastAsia" w:eastAsiaTheme="minorEastAsia" w:hAnsiTheme="minorEastAsia"/>
          <w:bCs/>
          <w:sz w:val="24"/>
          <w:szCs w:val="24"/>
        </w:rPr>
        <w:t>25</w:t>
      </w:r>
      <w:r w:rsidRPr="00844238">
        <w:rPr>
          <w:rFonts w:asciiTheme="minorEastAsia" w:eastAsiaTheme="minorEastAsia" w:hAnsiTheme="minorEastAsia" w:hint="eastAsia"/>
          <w:bCs/>
          <w:sz w:val="24"/>
          <w:szCs w:val="24"/>
        </w:rPr>
        <w:t>号）文件精神，为适应我省高考综合改革的需要，确保标准分转换科学合理、公平公正，我厅对我省原标准分转换办法进行了研究、优化和修订，形成了新的《海南省普通高考标准分转换实施办法》（以下简称办法）。</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第二条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本办法以“促进公平、科学选才”为宗旨，依据现代教育测量理论和统计学原理，为适应我省高考综合改革的需要，优化标准</w:t>
      </w:r>
      <w:proofErr w:type="gramStart"/>
      <w:r w:rsidRPr="00844238">
        <w:rPr>
          <w:rFonts w:asciiTheme="minorEastAsia" w:eastAsiaTheme="minorEastAsia" w:hAnsiTheme="minorEastAsia" w:hint="eastAsia"/>
          <w:bCs/>
          <w:sz w:val="24"/>
          <w:szCs w:val="24"/>
        </w:rPr>
        <w:t>分赋分方式</w:t>
      </w:r>
      <w:proofErr w:type="gramEnd"/>
      <w:r w:rsidRPr="00844238">
        <w:rPr>
          <w:rFonts w:asciiTheme="minorEastAsia" w:eastAsiaTheme="minorEastAsia" w:hAnsiTheme="minorEastAsia" w:hint="eastAsia"/>
          <w:bCs/>
          <w:sz w:val="24"/>
          <w:szCs w:val="24"/>
        </w:rPr>
        <w:t>，确保标准</w:t>
      </w:r>
      <w:proofErr w:type="gramStart"/>
      <w:r w:rsidRPr="00844238">
        <w:rPr>
          <w:rFonts w:asciiTheme="minorEastAsia" w:eastAsiaTheme="minorEastAsia" w:hAnsiTheme="minorEastAsia" w:hint="eastAsia"/>
          <w:bCs/>
          <w:sz w:val="24"/>
          <w:szCs w:val="24"/>
        </w:rPr>
        <w:t>分科学</w:t>
      </w:r>
      <w:proofErr w:type="gramEnd"/>
      <w:r w:rsidRPr="00844238">
        <w:rPr>
          <w:rFonts w:asciiTheme="minorEastAsia" w:eastAsiaTheme="minorEastAsia" w:hAnsiTheme="minorEastAsia" w:hint="eastAsia"/>
          <w:bCs/>
          <w:sz w:val="24"/>
          <w:szCs w:val="24"/>
        </w:rPr>
        <w:t>合理、公平公正。</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第三条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本办法适用于参加我省普通高等学校招生考试和普通高中学业水平选择性考试的全体考生。</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第四条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适用范围包括：语文、数学、英语等高考统考科目成绩转换，思想政治、历史、地理、物理、化学、生物等计入高考总成绩的高中学业水平选择性考试科目成绩转换，以及综合分转换。</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第五条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成绩发布包括单科标准分、综合分。转换后的标准分是普通高等学校择优录取的重要依据。不公布各科目原始分，也不提供原始分查询。</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第六条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高考标准分转换的基本原则</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（一）科学合理。标准分转换方法符合现代教育测量理论和统计学原理，符合我省考试招生工作实际，有利于高校科学选才，有利于引导学生合理规划学业和选择专业志愿。</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（二）公平公正。转换程序和公式对全体考生一视同仁，保证转换后考生排序不变，充分体现各学科的权重地位，彰</w:t>
      </w:r>
      <w:proofErr w:type="gramStart"/>
      <w:r w:rsidRPr="00844238">
        <w:rPr>
          <w:rFonts w:asciiTheme="minorEastAsia" w:eastAsiaTheme="minorEastAsia" w:hAnsiTheme="minorEastAsia" w:hint="eastAsia"/>
          <w:bCs/>
          <w:sz w:val="24"/>
          <w:szCs w:val="24"/>
        </w:rPr>
        <w:t>显全面</w:t>
      </w:r>
      <w:proofErr w:type="gramEnd"/>
      <w:r w:rsidRPr="00844238">
        <w:rPr>
          <w:rFonts w:asciiTheme="minorEastAsia" w:eastAsiaTheme="minorEastAsia" w:hAnsiTheme="minorEastAsia" w:hint="eastAsia"/>
          <w:bCs/>
          <w:sz w:val="24"/>
          <w:szCs w:val="24"/>
        </w:rPr>
        <w:t>发展的价值导向。</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（三）准确无误。数据整理和分数转换采取多人多次操作，交叉比对，反复校验的办法，确保基础数据和转换分数零失误。</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（四）安全保密。对服务器进行多人分段密钥管理，参与信息管理和标准分转换工作的人员，无直系亲属参加当年高考，并签署安全保密责任书。</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lastRenderedPageBreak/>
        <w:t>第七条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单科标准分转换</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单科标准分包括：语文、数学、英语高考统考科目和思想政治、历史、地理、物理、化学、生物等6科普通高中学业水平选择性考试各科目的标准分。</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根据标准正态分布常模量表，依照转换公式Ti=180+30×</w:t>
      </w:r>
      <w:proofErr w:type="spellStart"/>
      <w:r w:rsidRPr="00844238">
        <w:rPr>
          <w:rFonts w:asciiTheme="minorEastAsia" w:eastAsiaTheme="minorEastAsia" w:hAnsiTheme="minorEastAsia" w:hint="eastAsia"/>
          <w:bCs/>
          <w:sz w:val="24"/>
          <w:szCs w:val="24"/>
        </w:rPr>
        <w:t>Zi</w:t>
      </w:r>
      <w:proofErr w:type="spellEnd"/>
      <w:r w:rsidRPr="00844238">
        <w:rPr>
          <w:rFonts w:asciiTheme="minorEastAsia" w:eastAsiaTheme="minorEastAsia" w:hAnsiTheme="minorEastAsia" w:hint="eastAsia"/>
          <w:bCs/>
          <w:sz w:val="24"/>
          <w:szCs w:val="24"/>
        </w:rPr>
        <w:t>，建立《标准分与百分等级对照表（单科）-分数区间[60,300]》。</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（一）将学科全体考生的原始分数从大到</w:t>
      </w:r>
      <w:proofErr w:type="gramStart"/>
      <w:r w:rsidRPr="00844238">
        <w:rPr>
          <w:rFonts w:asciiTheme="minorEastAsia" w:eastAsiaTheme="minorEastAsia" w:hAnsiTheme="minorEastAsia" w:hint="eastAsia"/>
          <w:bCs/>
          <w:sz w:val="24"/>
          <w:szCs w:val="24"/>
        </w:rPr>
        <w:t>小进行</w:t>
      </w:r>
      <w:proofErr w:type="gramEnd"/>
      <w:r w:rsidRPr="00844238">
        <w:rPr>
          <w:rFonts w:asciiTheme="minorEastAsia" w:eastAsiaTheme="minorEastAsia" w:hAnsiTheme="minorEastAsia" w:hint="eastAsia"/>
          <w:bCs/>
          <w:sz w:val="24"/>
          <w:szCs w:val="24"/>
        </w:rPr>
        <w:t>排序。</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（二）计算小于或等于每个分数Xi的考生占该学科考生总数的百分比，从而求出每个分数Xi的百分等级</w:t>
      </w:r>
      <w:proofErr w:type="spellStart"/>
      <w:r w:rsidRPr="00844238">
        <w:rPr>
          <w:rFonts w:asciiTheme="minorEastAsia" w:eastAsiaTheme="minorEastAsia" w:hAnsiTheme="minorEastAsia" w:hint="eastAsia"/>
          <w:bCs/>
          <w:sz w:val="24"/>
          <w:szCs w:val="24"/>
        </w:rPr>
        <w:t>Ri</w:t>
      </w:r>
      <w:proofErr w:type="spellEnd"/>
      <w:r w:rsidRPr="00844238">
        <w:rPr>
          <w:rFonts w:asciiTheme="minorEastAsia" w:eastAsiaTheme="minorEastAsia" w:hAnsiTheme="minorEastAsia" w:hint="eastAsia"/>
          <w:bCs/>
          <w:sz w:val="24"/>
          <w:szCs w:val="24"/>
        </w:rPr>
        <w:t>。</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（三）查《标准分与百分等级对照表（单科）-分数区间[60,300]》，得到每个分数百分等级</w:t>
      </w:r>
      <w:proofErr w:type="spellStart"/>
      <w:r w:rsidRPr="00844238">
        <w:rPr>
          <w:rFonts w:asciiTheme="minorEastAsia" w:eastAsiaTheme="minorEastAsia" w:hAnsiTheme="minorEastAsia" w:hint="eastAsia"/>
          <w:bCs/>
          <w:sz w:val="24"/>
          <w:szCs w:val="24"/>
        </w:rPr>
        <w:t>Ri</w:t>
      </w:r>
      <w:proofErr w:type="spellEnd"/>
      <w:r w:rsidRPr="00844238">
        <w:rPr>
          <w:rFonts w:asciiTheme="minorEastAsia" w:eastAsiaTheme="minorEastAsia" w:hAnsiTheme="minorEastAsia" w:hint="eastAsia"/>
          <w:bCs/>
          <w:sz w:val="24"/>
          <w:szCs w:val="24"/>
        </w:rPr>
        <w:t>对应的单科标准分Ti。</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第八条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综合分转换</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综合分是考生高考统考科目的标准分和选择性考试科目的标准</w:t>
      </w:r>
      <w:proofErr w:type="gramStart"/>
      <w:r w:rsidRPr="00844238">
        <w:rPr>
          <w:rFonts w:asciiTheme="minorEastAsia" w:eastAsiaTheme="minorEastAsia" w:hAnsiTheme="minorEastAsia" w:hint="eastAsia"/>
          <w:bCs/>
          <w:sz w:val="24"/>
          <w:szCs w:val="24"/>
        </w:rPr>
        <w:t>分根据</w:t>
      </w:r>
      <w:proofErr w:type="gramEnd"/>
      <w:r w:rsidRPr="00844238">
        <w:rPr>
          <w:rFonts w:asciiTheme="minorEastAsia" w:eastAsiaTheme="minorEastAsia" w:hAnsiTheme="minorEastAsia" w:hint="eastAsia"/>
          <w:bCs/>
          <w:sz w:val="24"/>
          <w:szCs w:val="24"/>
        </w:rPr>
        <w:t>各自的权重加总后转换的标准分。</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根据标准正态分布常模量表，依照转换公式Ti=500+100×</w:t>
      </w:r>
      <w:proofErr w:type="spellStart"/>
      <w:r w:rsidRPr="00844238">
        <w:rPr>
          <w:rFonts w:asciiTheme="minorEastAsia" w:eastAsiaTheme="minorEastAsia" w:hAnsiTheme="minorEastAsia" w:hint="eastAsia"/>
          <w:bCs/>
          <w:sz w:val="24"/>
          <w:szCs w:val="24"/>
        </w:rPr>
        <w:t>Zi</w:t>
      </w:r>
      <w:proofErr w:type="spellEnd"/>
      <w:r w:rsidRPr="00844238">
        <w:rPr>
          <w:rFonts w:asciiTheme="minorEastAsia" w:eastAsiaTheme="minorEastAsia" w:hAnsiTheme="minorEastAsia" w:hint="eastAsia"/>
          <w:bCs/>
          <w:sz w:val="24"/>
          <w:szCs w:val="24"/>
        </w:rPr>
        <w:t>，建立《标准分与百分等级对照表(综合分)-分数区间[100,900]》。</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（一）按照语文、数学、英语各科权重为1.5，其他各科目权重为1，计算每个考生的合成总分，计算公式为：</w:t>
      </w:r>
    </w:p>
    <w:p w:rsidR="00844238" w:rsidRPr="00844238" w:rsidRDefault="00844238" w:rsidP="00844238">
      <w:pPr>
        <w:spacing w:line="520" w:lineRule="exact"/>
        <w:ind w:firstLineChars="200" w:firstLine="480"/>
        <w:jc w:val="left"/>
        <w:rPr>
          <w:rFonts w:asciiTheme="minorEastAsia" w:eastAsiaTheme="minorEastAsia" w:hAnsiTheme="minorEastAsia"/>
          <w:bCs/>
          <w:sz w:val="24"/>
          <w:szCs w:val="24"/>
        </w:rPr>
      </w:pPr>
      <w:r w:rsidRPr="00844238">
        <w:rPr>
          <w:rFonts w:asciiTheme="minorEastAsia" w:eastAsiaTheme="minorEastAsia" w:hAnsiTheme="minorEastAsia"/>
          <w:bCs/>
          <w:sz w:val="24"/>
          <w:szCs w:val="24"/>
        </w:rPr>
        <w:t>t=1.5×Tyw+1.5×Tsx+1.5×Tyy+Tx1+Tx2+Tx3</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其中，</w:t>
      </w:r>
      <w:proofErr w:type="spellStart"/>
      <w:r w:rsidRPr="00844238">
        <w:rPr>
          <w:rFonts w:asciiTheme="minorEastAsia" w:eastAsiaTheme="minorEastAsia" w:hAnsiTheme="minorEastAsia" w:hint="eastAsia"/>
          <w:bCs/>
          <w:sz w:val="24"/>
          <w:szCs w:val="24"/>
        </w:rPr>
        <w:t>Tyw</w:t>
      </w:r>
      <w:proofErr w:type="spellEnd"/>
      <w:r w:rsidRPr="00844238">
        <w:rPr>
          <w:rFonts w:asciiTheme="minorEastAsia" w:eastAsiaTheme="minorEastAsia" w:hAnsiTheme="minorEastAsia" w:hint="eastAsia"/>
          <w:bCs/>
          <w:sz w:val="24"/>
          <w:szCs w:val="24"/>
        </w:rPr>
        <w:t>、</w:t>
      </w:r>
      <w:proofErr w:type="spellStart"/>
      <w:r w:rsidRPr="00844238">
        <w:rPr>
          <w:rFonts w:asciiTheme="minorEastAsia" w:eastAsiaTheme="minorEastAsia" w:hAnsiTheme="minorEastAsia" w:hint="eastAsia"/>
          <w:bCs/>
          <w:sz w:val="24"/>
          <w:szCs w:val="24"/>
        </w:rPr>
        <w:t>Tsx</w:t>
      </w:r>
      <w:proofErr w:type="spellEnd"/>
      <w:r w:rsidRPr="00844238">
        <w:rPr>
          <w:rFonts w:asciiTheme="minorEastAsia" w:eastAsiaTheme="minorEastAsia" w:hAnsiTheme="minorEastAsia" w:hint="eastAsia"/>
          <w:bCs/>
          <w:sz w:val="24"/>
          <w:szCs w:val="24"/>
        </w:rPr>
        <w:t>、</w:t>
      </w:r>
      <w:proofErr w:type="spellStart"/>
      <w:r w:rsidRPr="00844238">
        <w:rPr>
          <w:rFonts w:asciiTheme="minorEastAsia" w:eastAsiaTheme="minorEastAsia" w:hAnsiTheme="minorEastAsia" w:hint="eastAsia"/>
          <w:bCs/>
          <w:sz w:val="24"/>
          <w:szCs w:val="24"/>
        </w:rPr>
        <w:t>Tyy</w:t>
      </w:r>
      <w:proofErr w:type="spellEnd"/>
      <w:r w:rsidRPr="00844238">
        <w:rPr>
          <w:rFonts w:asciiTheme="minorEastAsia" w:eastAsiaTheme="minorEastAsia" w:hAnsiTheme="minorEastAsia" w:hint="eastAsia"/>
          <w:bCs/>
          <w:sz w:val="24"/>
          <w:szCs w:val="24"/>
        </w:rPr>
        <w:t>、Tx1、Tx2、Tx3分别为语文、数学、英语、选考科目1、选考科目2和选考科目3的单科标准分。</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（二）将全体考生的合成总分t从大到</w:t>
      </w:r>
      <w:proofErr w:type="gramStart"/>
      <w:r w:rsidRPr="00844238">
        <w:rPr>
          <w:rFonts w:asciiTheme="minorEastAsia" w:eastAsiaTheme="minorEastAsia" w:hAnsiTheme="minorEastAsia" w:hint="eastAsia"/>
          <w:bCs/>
          <w:sz w:val="24"/>
          <w:szCs w:val="24"/>
        </w:rPr>
        <w:t>小进行</w:t>
      </w:r>
      <w:proofErr w:type="gramEnd"/>
      <w:r w:rsidRPr="00844238">
        <w:rPr>
          <w:rFonts w:asciiTheme="minorEastAsia" w:eastAsiaTheme="minorEastAsia" w:hAnsiTheme="minorEastAsia" w:hint="eastAsia"/>
          <w:bCs/>
          <w:sz w:val="24"/>
          <w:szCs w:val="24"/>
        </w:rPr>
        <w:t>排序。</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（三）计算小于或等于每个合成总分</w:t>
      </w:r>
      <w:proofErr w:type="spellStart"/>
      <w:r w:rsidRPr="00844238">
        <w:rPr>
          <w:rFonts w:asciiTheme="minorEastAsia" w:eastAsiaTheme="minorEastAsia" w:hAnsiTheme="minorEastAsia" w:hint="eastAsia"/>
          <w:bCs/>
          <w:sz w:val="24"/>
          <w:szCs w:val="24"/>
        </w:rPr>
        <w:t>ti</w:t>
      </w:r>
      <w:proofErr w:type="spellEnd"/>
      <w:r w:rsidRPr="00844238">
        <w:rPr>
          <w:rFonts w:asciiTheme="minorEastAsia" w:eastAsiaTheme="minorEastAsia" w:hAnsiTheme="minorEastAsia" w:hint="eastAsia"/>
          <w:bCs/>
          <w:sz w:val="24"/>
          <w:szCs w:val="24"/>
        </w:rPr>
        <w:t>的考生占考生总数的百分比，从而求出每个合成总分的百分等级</w:t>
      </w:r>
      <w:proofErr w:type="spellStart"/>
      <w:r w:rsidRPr="00844238">
        <w:rPr>
          <w:rFonts w:asciiTheme="minorEastAsia" w:eastAsiaTheme="minorEastAsia" w:hAnsiTheme="minorEastAsia" w:hint="eastAsia"/>
          <w:bCs/>
          <w:sz w:val="24"/>
          <w:szCs w:val="24"/>
        </w:rPr>
        <w:t>Ri</w:t>
      </w:r>
      <w:proofErr w:type="spellEnd"/>
      <w:r w:rsidRPr="00844238">
        <w:rPr>
          <w:rFonts w:asciiTheme="minorEastAsia" w:eastAsiaTheme="minorEastAsia" w:hAnsiTheme="minorEastAsia" w:hint="eastAsia"/>
          <w:bCs/>
          <w:sz w:val="24"/>
          <w:szCs w:val="24"/>
        </w:rPr>
        <w:t>。</w:t>
      </w: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（四）查《标准分与百分等级对照表（综合分）-分数区间[100,900]》，得到每个合成总分百分等级</w:t>
      </w:r>
      <w:proofErr w:type="spellStart"/>
      <w:r w:rsidRPr="00844238">
        <w:rPr>
          <w:rFonts w:asciiTheme="minorEastAsia" w:eastAsiaTheme="minorEastAsia" w:hAnsiTheme="minorEastAsia" w:hint="eastAsia"/>
          <w:bCs/>
          <w:sz w:val="24"/>
          <w:szCs w:val="24"/>
        </w:rPr>
        <w:t>Ri</w:t>
      </w:r>
      <w:proofErr w:type="spellEnd"/>
      <w:r w:rsidRPr="00844238">
        <w:rPr>
          <w:rFonts w:asciiTheme="minorEastAsia" w:eastAsiaTheme="minorEastAsia" w:hAnsiTheme="minorEastAsia" w:hint="eastAsia"/>
          <w:bCs/>
          <w:sz w:val="24"/>
          <w:szCs w:val="24"/>
        </w:rPr>
        <w:t>对应的综合标准分Ti。</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t>第九条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标准分转换工作在省教育厅领导下，由省考试局具体组织实施。</w:t>
      </w:r>
    </w:p>
    <w:p w:rsidR="00844238" w:rsidRPr="00844238" w:rsidRDefault="00844238" w:rsidP="00844238">
      <w:pPr>
        <w:spacing w:line="520" w:lineRule="exact"/>
        <w:ind w:firstLineChars="200" w:firstLine="482"/>
        <w:jc w:val="left"/>
        <w:rPr>
          <w:rFonts w:asciiTheme="minorEastAsia" w:eastAsiaTheme="minorEastAsia" w:hAnsiTheme="minorEastAsia"/>
          <w:bCs/>
          <w:sz w:val="24"/>
          <w:szCs w:val="24"/>
        </w:rPr>
      </w:pPr>
      <w:r w:rsidRPr="00844238">
        <w:rPr>
          <w:rFonts w:asciiTheme="minorEastAsia" w:eastAsiaTheme="minorEastAsia" w:hAnsiTheme="minorEastAsia" w:hint="eastAsia"/>
          <w:b/>
          <w:bCs/>
          <w:sz w:val="24"/>
          <w:szCs w:val="24"/>
        </w:rPr>
        <w:lastRenderedPageBreak/>
        <w:t>第十条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本办法自公布之日开始实施，原标准分转换办法同时废止。</w:t>
      </w:r>
    </w:p>
    <w:p w:rsidR="00844238" w:rsidRDefault="00844238" w:rsidP="00844238">
      <w:pPr>
        <w:spacing w:line="520" w:lineRule="exact"/>
        <w:ind w:firstLineChars="200" w:firstLine="482"/>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
          <w:bCs/>
          <w:sz w:val="24"/>
          <w:szCs w:val="24"/>
        </w:rPr>
        <w:t>第十一条</w:t>
      </w:r>
      <w:r>
        <w:rPr>
          <w:rFonts w:asciiTheme="minorEastAsia" w:eastAsiaTheme="minorEastAsia" w:hAnsiTheme="minorEastAsia"/>
          <w:bCs/>
          <w:sz w:val="24"/>
          <w:szCs w:val="24"/>
        </w:rPr>
        <w:t xml:space="preserve"> </w:t>
      </w:r>
      <w:r w:rsidRPr="00844238">
        <w:rPr>
          <w:rFonts w:asciiTheme="minorEastAsia" w:eastAsiaTheme="minorEastAsia" w:hAnsiTheme="minorEastAsia" w:hint="eastAsia"/>
          <w:bCs/>
          <w:sz w:val="24"/>
          <w:szCs w:val="24"/>
        </w:rPr>
        <w:t>本办法由省教育厅负责解释。</w:t>
      </w:r>
    </w:p>
    <w:p w:rsidR="00844238" w:rsidRPr="00844238" w:rsidRDefault="00844238" w:rsidP="00844238">
      <w:pPr>
        <w:spacing w:line="520" w:lineRule="exact"/>
        <w:ind w:firstLineChars="200" w:firstLine="480"/>
        <w:jc w:val="left"/>
        <w:rPr>
          <w:rFonts w:asciiTheme="minorEastAsia" w:eastAsiaTheme="minorEastAsia" w:hAnsiTheme="minorEastAsia"/>
          <w:bCs/>
          <w:sz w:val="24"/>
          <w:szCs w:val="24"/>
        </w:rPr>
      </w:pPr>
    </w:p>
    <w:p w:rsidR="00844238" w:rsidRP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附表：1.标准分与百分等级对照表（单科）-分数区间[60,300]</w:t>
      </w:r>
    </w:p>
    <w:p w:rsidR="00B95F55" w:rsidRDefault="00844238" w:rsidP="00844238">
      <w:pPr>
        <w:spacing w:line="520" w:lineRule="exact"/>
        <w:ind w:firstLineChars="200" w:firstLine="480"/>
        <w:jc w:val="left"/>
        <w:rPr>
          <w:rFonts w:asciiTheme="minorEastAsia" w:eastAsiaTheme="minorEastAsia" w:hAnsiTheme="minorEastAsia" w:hint="eastAsia"/>
          <w:bCs/>
          <w:sz w:val="24"/>
          <w:szCs w:val="24"/>
        </w:rPr>
      </w:pPr>
      <w:r w:rsidRPr="00844238">
        <w:rPr>
          <w:rFonts w:asciiTheme="minorEastAsia" w:eastAsiaTheme="minorEastAsia" w:hAnsiTheme="minorEastAsia" w:hint="eastAsia"/>
          <w:bCs/>
          <w:sz w:val="24"/>
          <w:szCs w:val="24"/>
        </w:rPr>
        <w:t xml:space="preserve">　　　2.标准分与百分等级对照表（综合分）-分数区间[100,900]</w:t>
      </w:r>
    </w:p>
    <w:p w:rsidR="00844238" w:rsidRDefault="00844238" w:rsidP="00844238">
      <w:pPr>
        <w:spacing w:line="520" w:lineRule="exact"/>
        <w:ind w:firstLineChars="200" w:firstLine="480"/>
        <w:jc w:val="left"/>
        <w:rPr>
          <w:rFonts w:asciiTheme="minorEastAsia" w:eastAsiaTheme="minorEastAsia" w:hAnsiTheme="minorEastAsia" w:hint="eastAsia"/>
          <w:bCs/>
          <w:sz w:val="24"/>
          <w:szCs w:val="24"/>
        </w:rPr>
      </w:pPr>
    </w:p>
    <w:p w:rsidR="00844238" w:rsidRPr="00844238" w:rsidRDefault="00844238" w:rsidP="00844238">
      <w:pPr>
        <w:spacing w:line="520" w:lineRule="exact"/>
        <w:ind w:firstLineChars="200" w:firstLine="480"/>
        <w:jc w:val="left"/>
        <w:rPr>
          <w:rFonts w:asciiTheme="minorEastAsia" w:eastAsiaTheme="minorEastAsia" w:hAnsiTheme="minorEastAsia"/>
          <w:bCs/>
          <w:sz w:val="24"/>
          <w:szCs w:val="24"/>
        </w:rPr>
      </w:pPr>
      <w:r w:rsidRPr="00844238">
        <w:rPr>
          <w:rFonts w:asciiTheme="minorEastAsia" w:eastAsiaTheme="minorEastAsia" w:hAnsiTheme="minorEastAsia" w:hint="eastAsia"/>
          <w:bCs/>
          <w:sz w:val="24"/>
          <w:szCs w:val="24"/>
        </w:rPr>
        <w:t>附表</w:t>
      </w:r>
      <w:r>
        <w:rPr>
          <w:rFonts w:asciiTheme="minorEastAsia" w:eastAsiaTheme="minorEastAsia" w:hAnsiTheme="minorEastAsia" w:hint="eastAsia"/>
          <w:bCs/>
          <w:sz w:val="24"/>
          <w:szCs w:val="24"/>
        </w:rPr>
        <w:t>1</w:t>
      </w:r>
    </w:p>
    <w:p w:rsidR="00844238" w:rsidRPr="00844238" w:rsidRDefault="00844238" w:rsidP="00844238">
      <w:pPr>
        <w:spacing w:line="520" w:lineRule="exact"/>
        <w:jc w:val="center"/>
        <w:rPr>
          <w:rFonts w:asciiTheme="minorEastAsia" w:eastAsiaTheme="minorEastAsia" w:hAnsiTheme="minorEastAsia" w:hint="eastAsia"/>
          <w:b/>
          <w:bCs/>
          <w:sz w:val="24"/>
          <w:szCs w:val="24"/>
        </w:rPr>
      </w:pPr>
      <w:r w:rsidRPr="00844238">
        <w:rPr>
          <w:rFonts w:asciiTheme="minorEastAsia" w:eastAsiaTheme="minorEastAsia" w:hAnsiTheme="minorEastAsia" w:hint="eastAsia"/>
          <w:b/>
          <w:bCs/>
          <w:sz w:val="24"/>
          <w:szCs w:val="24"/>
        </w:rPr>
        <w:t>标准分与百分等级对照表（单科）-分数区间[60,300]</w:t>
      </w:r>
    </w:p>
    <w:p w:rsidR="00844238" w:rsidRDefault="00844238" w:rsidP="00844238">
      <w:pPr>
        <w:jc w:val="center"/>
        <w:rPr>
          <w:rFonts w:asciiTheme="minorEastAsia" w:eastAsiaTheme="minorEastAsia" w:hAnsiTheme="minorEastAsia" w:hint="eastAsia"/>
          <w:bCs/>
          <w:sz w:val="24"/>
          <w:szCs w:val="24"/>
        </w:rPr>
      </w:pPr>
      <w:r>
        <w:rPr>
          <w:rFonts w:asciiTheme="minorEastAsia" w:eastAsiaTheme="minorEastAsia" w:hAnsiTheme="minorEastAsia" w:hint="eastAsia"/>
          <w:bCs/>
          <w:noProof/>
          <w:sz w:val="24"/>
          <w:szCs w:val="24"/>
        </w:rPr>
        <w:drawing>
          <wp:inline distT="0" distB="0" distL="0" distR="0" wp14:anchorId="72F975C3" wp14:editId="6727BEC3">
            <wp:extent cx="5759450" cy="421957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7">
                      <a:extLst>
                        <a:ext uri="{28A0092B-C50C-407E-A947-70E740481C1C}">
                          <a14:useLocalDpi xmlns:a14="http://schemas.microsoft.com/office/drawing/2010/main" val="0"/>
                        </a:ext>
                      </a:extLst>
                    </a:blip>
                    <a:stretch>
                      <a:fillRect/>
                    </a:stretch>
                  </pic:blipFill>
                  <pic:spPr>
                    <a:xfrm>
                      <a:off x="0" y="0"/>
                      <a:ext cx="5759450" cy="4219575"/>
                    </a:xfrm>
                    <a:prstGeom prst="rect">
                      <a:avLst/>
                    </a:prstGeom>
                  </pic:spPr>
                </pic:pic>
              </a:graphicData>
            </a:graphic>
          </wp:inline>
        </w:drawing>
      </w:r>
    </w:p>
    <w:p w:rsidR="00844238" w:rsidRPr="00844238" w:rsidRDefault="00844238" w:rsidP="00844238">
      <w:pPr>
        <w:spacing w:line="520" w:lineRule="exact"/>
        <w:ind w:firstLineChars="200" w:firstLine="480"/>
        <w:jc w:val="left"/>
        <w:rPr>
          <w:rFonts w:asciiTheme="minorEastAsia" w:eastAsiaTheme="minorEastAsia" w:hAnsiTheme="minorEastAsia"/>
          <w:bCs/>
          <w:sz w:val="24"/>
          <w:szCs w:val="24"/>
          <w:lang w:val="en"/>
        </w:rPr>
      </w:pPr>
      <w:r w:rsidRPr="00844238">
        <w:rPr>
          <w:rFonts w:asciiTheme="minorEastAsia" w:eastAsiaTheme="minorEastAsia" w:hAnsiTheme="minorEastAsia" w:hint="eastAsia"/>
          <w:bCs/>
          <w:sz w:val="24"/>
          <w:szCs w:val="24"/>
          <w:lang w:val="en"/>
        </w:rPr>
        <w:t>附表</w:t>
      </w:r>
      <w:r>
        <w:rPr>
          <w:rFonts w:asciiTheme="minorEastAsia" w:eastAsiaTheme="minorEastAsia" w:hAnsiTheme="minorEastAsia" w:hint="eastAsia"/>
          <w:bCs/>
          <w:sz w:val="24"/>
          <w:szCs w:val="24"/>
          <w:lang w:val="en"/>
        </w:rPr>
        <w:t>2</w:t>
      </w:r>
    </w:p>
    <w:p w:rsidR="00844238" w:rsidRPr="00844238" w:rsidRDefault="00844238" w:rsidP="00844238">
      <w:pPr>
        <w:spacing w:line="520" w:lineRule="exact"/>
        <w:jc w:val="center"/>
        <w:rPr>
          <w:rFonts w:asciiTheme="minorEastAsia" w:eastAsiaTheme="minorEastAsia" w:hAnsiTheme="minorEastAsia" w:hint="eastAsia"/>
          <w:b/>
          <w:bCs/>
          <w:sz w:val="24"/>
          <w:szCs w:val="24"/>
          <w:lang w:val="en"/>
        </w:rPr>
      </w:pPr>
      <w:r w:rsidRPr="00844238">
        <w:rPr>
          <w:rFonts w:asciiTheme="minorEastAsia" w:eastAsiaTheme="minorEastAsia" w:hAnsiTheme="minorEastAsia" w:hint="eastAsia"/>
          <w:b/>
          <w:bCs/>
          <w:sz w:val="24"/>
          <w:szCs w:val="24"/>
          <w:lang w:val="en"/>
        </w:rPr>
        <w:t>标准分与百分等级对照表(综合分)-分数区间[100,900]</w:t>
      </w:r>
    </w:p>
    <w:p w:rsidR="00844238" w:rsidRPr="00844238" w:rsidRDefault="00844238" w:rsidP="00844238">
      <w:pPr>
        <w:jc w:val="center"/>
        <w:rPr>
          <w:rFonts w:asciiTheme="minorEastAsia" w:eastAsiaTheme="minorEastAsia" w:hAnsiTheme="minorEastAsia" w:hint="eastAsia"/>
          <w:bCs/>
          <w:sz w:val="24"/>
          <w:szCs w:val="24"/>
          <w:lang w:val="en"/>
        </w:rPr>
      </w:pPr>
      <w:r>
        <w:rPr>
          <w:rFonts w:asciiTheme="minorEastAsia" w:eastAsiaTheme="minorEastAsia" w:hAnsiTheme="minorEastAsia" w:hint="eastAsia"/>
          <w:bCs/>
          <w:noProof/>
          <w:sz w:val="24"/>
          <w:szCs w:val="24"/>
        </w:rPr>
        <w:lastRenderedPageBreak/>
        <w:drawing>
          <wp:inline distT="0" distB="0" distL="0" distR="0">
            <wp:extent cx="3851275" cy="889127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851275" cy="8891270"/>
                    </a:xfrm>
                    <a:prstGeom prst="rect">
                      <a:avLst/>
                    </a:prstGeom>
                  </pic:spPr>
                </pic:pic>
              </a:graphicData>
            </a:graphic>
          </wp:inline>
        </w:drawing>
      </w:r>
    </w:p>
    <w:sectPr w:rsidR="00844238" w:rsidRPr="00844238" w:rsidSect="00530910">
      <w:headerReference w:type="default" r:id="rId9"/>
      <w:footerReference w:type="default" r:id="rId10"/>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3FDE" w:rsidRDefault="00B03FDE" w:rsidP="00D42A2B">
      <w:r>
        <w:separator/>
      </w:r>
    </w:p>
  </w:endnote>
  <w:endnote w:type="continuationSeparator" w:id="0">
    <w:p w:rsidR="00B03FDE" w:rsidRDefault="00B03FDE" w:rsidP="00D42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0395305"/>
      <w:docPartObj>
        <w:docPartGallery w:val="Page Numbers (Top of Page)"/>
        <w:docPartUnique/>
      </w:docPartObj>
    </w:sdtPr>
    <w:sdtEndPr/>
    <w:sdtContent>
      <w:p w:rsidR="00D06A6E" w:rsidRDefault="00D06A6E" w:rsidP="00D06A6E">
        <w:pPr>
          <w:jc w:val="center"/>
        </w:pPr>
        <w:r>
          <w:rPr>
            <w:lang w:val="zh-CN"/>
          </w:rPr>
          <w:t xml:space="preserve"> </w:t>
        </w:r>
        <w:r w:rsidR="00254522">
          <w:fldChar w:fldCharType="begin"/>
        </w:r>
        <w:r w:rsidR="00254522">
          <w:instrText xml:space="preserve"> PAGE </w:instrText>
        </w:r>
        <w:r w:rsidR="00254522">
          <w:fldChar w:fldCharType="separate"/>
        </w:r>
        <w:r w:rsidR="00844238">
          <w:rPr>
            <w:noProof/>
          </w:rPr>
          <w:t>1</w:t>
        </w:r>
        <w:r w:rsidR="00254522">
          <w:rPr>
            <w:noProof/>
          </w:rPr>
          <w:fldChar w:fldCharType="end"/>
        </w:r>
        <w:r>
          <w:rPr>
            <w:lang w:val="zh-CN"/>
          </w:rPr>
          <w:t xml:space="preserve"> / </w:t>
        </w:r>
        <w:fldSimple w:instr=" NUMPAGES  ">
          <w:r w:rsidR="00844238">
            <w:rPr>
              <w:noProof/>
            </w:rPr>
            <w:t>4</w:t>
          </w:r>
        </w:fldSimple>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3FDE" w:rsidRDefault="00B03FDE" w:rsidP="00D42A2B">
      <w:r>
        <w:separator/>
      </w:r>
    </w:p>
  </w:footnote>
  <w:footnote w:type="continuationSeparator" w:id="0">
    <w:p w:rsidR="00B03FDE" w:rsidRDefault="00B03FDE" w:rsidP="00D42A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A2B" w:rsidRPr="0000621B" w:rsidRDefault="00E05016" w:rsidP="0000621B">
    <w:r>
      <w:rPr>
        <w:noProof/>
      </w:rPr>
      <w:drawing>
        <wp:inline distT="0" distB="0" distL="0" distR="0">
          <wp:extent cx="5759450" cy="6413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ZT1H4702P35XF`33(CRPBA.png"/>
                  <pic:cNvPicPr/>
                </pic:nvPicPr>
                <pic:blipFill>
                  <a:blip r:embed="rId1">
                    <a:extLst>
                      <a:ext uri="{28A0092B-C50C-407E-A947-70E740481C1C}">
                        <a14:useLocalDpi xmlns:a14="http://schemas.microsoft.com/office/drawing/2010/main" val="0"/>
                      </a:ext>
                    </a:extLst>
                  </a:blip>
                  <a:stretch>
                    <a:fillRect/>
                  </a:stretch>
                </pic:blipFill>
                <pic:spPr>
                  <a:xfrm>
                    <a:off x="0" y="0"/>
                    <a:ext cx="5759450" cy="641350"/>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E132F"/>
    <w:rsid w:val="00004F4F"/>
    <w:rsid w:val="0000621B"/>
    <w:rsid w:val="000232E5"/>
    <w:rsid w:val="00027C3A"/>
    <w:rsid w:val="000462AF"/>
    <w:rsid w:val="00121D73"/>
    <w:rsid w:val="001663F4"/>
    <w:rsid w:val="00235B0C"/>
    <w:rsid w:val="00254522"/>
    <w:rsid w:val="00530910"/>
    <w:rsid w:val="005512DE"/>
    <w:rsid w:val="00596174"/>
    <w:rsid w:val="005A1EEF"/>
    <w:rsid w:val="00696A20"/>
    <w:rsid w:val="006C6496"/>
    <w:rsid w:val="00706312"/>
    <w:rsid w:val="007732AA"/>
    <w:rsid w:val="007D3E4E"/>
    <w:rsid w:val="00803DC7"/>
    <w:rsid w:val="00826C1F"/>
    <w:rsid w:val="00844238"/>
    <w:rsid w:val="008636CB"/>
    <w:rsid w:val="009E6420"/>
    <w:rsid w:val="009E7FFC"/>
    <w:rsid w:val="00A257B6"/>
    <w:rsid w:val="00B03FDE"/>
    <w:rsid w:val="00B95CED"/>
    <w:rsid w:val="00B95F55"/>
    <w:rsid w:val="00C14362"/>
    <w:rsid w:val="00C721D3"/>
    <w:rsid w:val="00D06A6E"/>
    <w:rsid w:val="00D42A2B"/>
    <w:rsid w:val="00DD1855"/>
    <w:rsid w:val="00DE132F"/>
    <w:rsid w:val="00E050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32F"/>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42A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42A2B"/>
    <w:rPr>
      <w:rFonts w:ascii="Calibri" w:eastAsia="宋体" w:hAnsi="Calibri" w:cs="Times New Roman"/>
      <w:sz w:val="18"/>
      <w:szCs w:val="18"/>
    </w:rPr>
  </w:style>
  <w:style w:type="paragraph" w:styleId="a4">
    <w:name w:val="footer"/>
    <w:basedOn w:val="a"/>
    <w:link w:val="Char0"/>
    <w:uiPriority w:val="99"/>
    <w:unhideWhenUsed/>
    <w:rsid w:val="00D42A2B"/>
    <w:pPr>
      <w:tabs>
        <w:tab w:val="center" w:pos="4153"/>
        <w:tab w:val="right" w:pos="8306"/>
      </w:tabs>
      <w:snapToGrid w:val="0"/>
      <w:jc w:val="left"/>
    </w:pPr>
    <w:rPr>
      <w:sz w:val="18"/>
      <w:szCs w:val="18"/>
    </w:rPr>
  </w:style>
  <w:style w:type="character" w:customStyle="1" w:styleId="Char0">
    <w:name w:val="页脚 Char"/>
    <w:basedOn w:val="a0"/>
    <w:link w:val="a4"/>
    <w:uiPriority w:val="99"/>
    <w:rsid w:val="00D42A2B"/>
    <w:rPr>
      <w:rFonts w:ascii="Calibri" w:eastAsia="宋体" w:hAnsi="Calibri" w:cs="Times New Roman"/>
      <w:sz w:val="18"/>
      <w:szCs w:val="18"/>
    </w:rPr>
  </w:style>
  <w:style w:type="paragraph" w:styleId="a5">
    <w:name w:val="Balloon Text"/>
    <w:basedOn w:val="a"/>
    <w:link w:val="Char1"/>
    <w:uiPriority w:val="99"/>
    <w:semiHidden/>
    <w:unhideWhenUsed/>
    <w:rsid w:val="00D42A2B"/>
    <w:rPr>
      <w:sz w:val="18"/>
      <w:szCs w:val="18"/>
    </w:rPr>
  </w:style>
  <w:style w:type="character" w:customStyle="1" w:styleId="Char1">
    <w:name w:val="批注框文本 Char"/>
    <w:basedOn w:val="a0"/>
    <w:link w:val="a5"/>
    <w:uiPriority w:val="99"/>
    <w:semiHidden/>
    <w:rsid w:val="00D42A2B"/>
    <w:rPr>
      <w:rFonts w:ascii="Calibri" w:eastAsia="宋体" w:hAnsi="Calibri" w:cs="Times New Roman"/>
      <w:sz w:val="18"/>
      <w:szCs w:val="18"/>
    </w:rPr>
  </w:style>
  <w:style w:type="character" w:styleId="a6">
    <w:name w:val="Hyperlink"/>
    <w:basedOn w:val="a0"/>
    <w:qFormat/>
    <w:rsid w:val="00D42A2B"/>
    <w:rPr>
      <w:color w:val="0000FF"/>
      <w:u w:val="single"/>
    </w:rPr>
  </w:style>
  <w:style w:type="table" w:styleId="a7">
    <w:name w:val="Table Grid"/>
    <w:basedOn w:val="a1"/>
    <w:uiPriority w:val="59"/>
    <w:rsid w:val="005961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922813">
      <w:bodyDiv w:val="1"/>
      <w:marLeft w:val="0"/>
      <w:marRight w:val="0"/>
      <w:marTop w:val="0"/>
      <w:marBottom w:val="0"/>
      <w:divBdr>
        <w:top w:val="none" w:sz="0" w:space="0" w:color="auto"/>
        <w:left w:val="none" w:sz="0" w:space="0" w:color="auto"/>
        <w:bottom w:val="none" w:sz="0" w:space="0" w:color="auto"/>
        <w:right w:val="none" w:sz="0" w:space="0" w:color="auto"/>
      </w:divBdr>
    </w:div>
    <w:div w:id="261303182">
      <w:bodyDiv w:val="1"/>
      <w:marLeft w:val="0"/>
      <w:marRight w:val="0"/>
      <w:marTop w:val="0"/>
      <w:marBottom w:val="0"/>
      <w:divBdr>
        <w:top w:val="none" w:sz="0" w:space="0" w:color="auto"/>
        <w:left w:val="none" w:sz="0" w:space="0" w:color="auto"/>
        <w:bottom w:val="none" w:sz="0" w:space="0" w:color="auto"/>
        <w:right w:val="none" w:sz="0" w:space="0" w:color="auto"/>
      </w:divBdr>
    </w:div>
    <w:div w:id="921371415">
      <w:bodyDiv w:val="1"/>
      <w:marLeft w:val="0"/>
      <w:marRight w:val="0"/>
      <w:marTop w:val="0"/>
      <w:marBottom w:val="0"/>
      <w:divBdr>
        <w:top w:val="none" w:sz="0" w:space="0" w:color="auto"/>
        <w:left w:val="none" w:sz="0" w:space="0" w:color="auto"/>
        <w:bottom w:val="none" w:sz="0" w:space="0" w:color="auto"/>
        <w:right w:val="none" w:sz="0" w:space="0" w:color="auto"/>
      </w:divBdr>
    </w:div>
    <w:div w:id="1234703093">
      <w:bodyDiv w:val="1"/>
      <w:marLeft w:val="0"/>
      <w:marRight w:val="0"/>
      <w:marTop w:val="0"/>
      <w:marBottom w:val="0"/>
      <w:divBdr>
        <w:top w:val="none" w:sz="0" w:space="0" w:color="auto"/>
        <w:left w:val="none" w:sz="0" w:space="0" w:color="auto"/>
        <w:bottom w:val="none" w:sz="0" w:space="0" w:color="auto"/>
        <w:right w:val="none" w:sz="0" w:space="0" w:color="auto"/>
      </w:divBdr>
      <w:divsChild>
        <w:div w:id="1599101423">
          <w:marLeft w:val="0"/>
          <w:marRight w:val="0"/>
          <w:marTop w:val="0"/>
          <w:marBottom w:val="0"/>
          <w:divBdr>
            <w:top w:val="none" w:sz="0" w:space="0" w:color="auto"/>
            <w:left w:val="none" w:sz="0" w:space="0" w:color="auto"/>
            <w:bottom w:val="none" w:sz="0" w:space="0" w:color="auto"/>
            <w:right w:val="none" w:sz="0" w:space="0" w:color="auto"/>
          </w:divBdr>
          <w:divsChild>
            <w:div w:id="1138886619">
              <w:marLeft w:val="510"/>
              <w:marRight w:val="0"/>
              <w:marTop w:val="345"/>
              <w:marBottom w:val="345"/>
              <w:divBdr>
                <w:top w:val="none" w:sz="0" w:space="0" w:color="auto"/>
                <w:left w:val="none" w:sz="0" w:space="0" w:color="auto"/>
                <w:bottom w:val="none" w:sz="0" w:space="0" w:color="auto"/>
                <w:right w:val="none" w:sz="0" w:space="0" w:color="auto"/>
              </w:divBdr>
              <w:divsChild>
                <w:div w:id="31202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103246">
      <w:bodyDiv w:val="1"/>
      <w:marLeft w:val="0"/>
      <w:marRight w:val="0"/>
      <w:marTop w:val="0"/>
      <w:marBottom w:val="0"/>
      <w:divBdr>
        <w:top w:val="none" w:sz="0" w:space="0" w:color="auto"/>
        <w:left w:val="none" w:sz="0" w:space="0" w:color="auto"/>
        <w:bottom w:val="none" w:sz="0" w:space="0" w:color="auto"/>
        <w:right w:val="none" w:sz="0" w:space="0" w:color="auto"/>
      </w:divBdr>
      <w:divsChild>
        <w:div w:id="1013647076">
          <w:marLeft w:val="0"/>
          <w:marRight w:val="0"/>
          <w:marTop w:val="0"/>
          <w:marBottom w:val="0"/>
          <w:divBdr>
            <w:top w:val="none" w:sz="0" w:space="0" w:color="auto"/>
            <w:left w:val="none" w:sz="0" w:space="0" w:color="auto"/>
            <w:bottom w:val="none" w:sz="0" w:space="0" w:color="auto"/>
            <w:right w:val="none" w:sz="0" w:space="0" w:color="auto"/>
          </w:divBdr>
          <w:divsChild>
            <w:div w:id="183905471">
              <w:marLeft w:val="510"/>
              <w:marRight w:val="0"/>
              <w:marTop w:val="345"/>
              <w:marBottom w:val="345"/>
              <w:divBdr>
                <w:top w:val="none" w:sz="0" w:space="0" w:color="auto"/>
                <w:left w:val="none" w:sz="0" w:space="0" w:color="auto"/>
                <w:bottom w:val="none" w:sz="0" w:space="0" w:color="auto"/>
                <w:right w:val="none" w:sz="0" w:space="0" w:color="auto"/>
              </w:divBdr>
              <w:divsChild>
                <w:div w:id="196884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57210">
      <w:bodyDiv w:val="1"/>
      <w:marLeft w:val="0"/>
      <w:marRight w:val="0"/>
      <w:marTop w:val="0"/>
      <w:marBottom w:val="0"/>
      <w:divBdr>
        <w:top w:val="none" w:sz="0" w:space="0" w:color="auto"/>
        <w:left w:val="none" w:sz="0" w:space="0" w:color="auto"/>
        <w:bottom w:val="none" w:sz="0" w:space="0" w:color="auto"/>
        <w:right w:val="none" w:sz="0" w:space="0" w:color="auto"/>
      </w:divBdr>
      <w:divsChild>
        <w:div w:id="269243458">
          <w:marLeft w:val="0"/>
          <w:marRight w:val="0"/>
          <w:marTop w:val="0"/>
          <w:marBottom w:val="0"/>
          <w:divBdr>
            <w:top w:val="none" w:sz="0" w:space="0" w:color="auto"/>
            <w:left w:val="none" w:sz="0" w:space="0" w:color="auto"/>
            <w:bottom w:val="none" w:sz="0" w:space="0" w:color="auto"/>
            <w:right w:val="none" w:sz="0" w:space="0" w:color="auto"/>
          </w:divBdr>
          <w:divsChild>
            <w:div w:id="1648051142">
              <w:marLeft w:val="0"/>
              <w:marRight w:val="0"/>
              <w:marTop w:val="0"/>
              <w:marBottom w:val="0"/>
              <w:divBdr>
                <w:top w:val="none" w:sz="0" w:space="0" w:color="auto"/>
                <w:left w:val="none" w:sz="0" w:space="0" w:color="auto"/>
                <w:bottom w:val="none" w:sz="0" w:space="0" w:color="auto"/>
                <w:right w:val="none" w:sz="0" w:space="0" w:color="auto"/>
              </w:divBdr>
              <w:divsChild>
                <w:div w:id="40519654">
                  <w:marLeft w:val="0"/>
                  <w:marRight w:val="0"/>
                  <w:marTop w:val="0"/>
                  <w:marBottom w:val="0"/>
                  <w:divBdr>
                    <w:top w:val="none" w:sz="0" w:space="0" w:color="auto"/>
                    <w:left w:val="none" w:sz="0" w:space="0" w:color="auto"/>
                    <w:bottom w:val="none" w:sz="0" w:space="0" w:color="auto"/>
                    <w:right w:val="none" w:sz="0" w:space="0" w:color="auto"/>
                  </w:divBdr>
                  <w:divsChild>
                    <w:div w:id="1789004407">
                      <w:marLeft w:val="0"/>
                      <w:marRight w:val="0"/>
                      <w:marTop w:val="0"/>
                      <w:marBottom w:val="0"/>
                      <w:divBdr>
                        <w:top w:val="none" w:sz="0" w:space="0" w:color="auto"/>
                        <w:left w:val="none" w:sz="0" w:space="0" w:color="auto"/>
                        <w:bottom w:val="none" w:sz="0" w:space="0" w:color="auto"/>
                        <w:right w:val="none" w:sz="0" w:space="0" w:color="auto"/>
                      </w:divBdr>
                      <w:divsChild>
                        <w:div w:id="912475077">
                          <w:marLeft w:val="0"/>
                          <w:marRight w:val="0"/>
                          <w:marTop w:val="0"/>
                          <w:marBottom w:val="0"/>
                          <w:divBdr>
                            <w:top w:val="none" w:sz="0" w:space="0" w:color="auto"/>
                            <w:left w:val="none" w:sz="0" w:space="0" w:color="auto"/>
                            <w:bottom w:val="none" w:sz="0" w:space="0" w:color="auto"/>
                            <w:right w:val="none" w:sz="0" w:space="0" w:color="auto"/>
                          </w:divBdr>
                          <w:divsChild>
                            <w:div w:id="1667172928">
                              <w:marLeft w:val="1470"/>
                              <w:marRight w:val="1410"/>
                              <w:marTop w:val="1695"/>
                              <w:marBottom w:val="1440"/>
                              <w:divBdr>
                                <w:top w:val="none" w:sz="0" w:space="0" w:color="auto"/>
                                <w:left w:val="none" w:sz="0" w:space="0" w:color="auto"/>
                                <w:bottom w:val="none" w:sz="0" w:space="0" w:color="auto"/>
                                <w:right w:val="none" w:sz="0" w:space="0" w:color="auto"/>
                              </w:divBdr>
                              <w:divsChild>
                                <w:div w:id="95867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9716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4</Pages>
  <Words>245</Words>
  <Characters>1398</Characters>
  <Application>Microsoft Office Word</Application>
  <DocSecurity>0</DocSecurity>
  <Lines>11</Lines>
  <Paragraphs>3</Paragraphs>
  <ScaleCrop>false</ScaleCrop>
  <Company>Sky123.Org</Company>
  <LinksUpToDate>false</LinksUpToDate>
  <CharactersWithSpaces>1640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Sky123.Org</dc:creator>
  <cp:keywords/>
  <dc:description/>
  <cp:lastModifiedBy>Windows User</cp:lastModifiedBy>
  <cp:revision>21</cp:revision>
  <dcterms:created xsi:type="dcterms:W3CDTF">2016-03-17T06:43:00Z</dcterms:created>
  <dcterms:modified xsi:type="dcterms:W3CDTF">2020-04-09T08:05:00Z</dcterms:modified>
</cp:coreProperties>
</file>